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Pr>
        <w:drawing>
          <wp:inline distB="0" distT="0" distL="114300" distR="114300">
            <wp:extent cx="1001395" cy="601980"/>
            <wp:effectExtent b="0" l="0" r="0" t="0"/>
            <wp:docPr id="45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001395" cy="60198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MEF ÜNİVERSİTESİ</w:t>
      </w:r>
      <w:r w:rsidDel="00000000" w:rsidR="00000000" w:rsidRPr="00000000">
        <w:rPr>
          <w:rtl w:val="0"/>
        </w:rPr>
      </w:r>
    </w:p>
    <w:p w:rsidR="00000000" w:rsidDel="00000000" w:rsidP="00000000" w:rsidRDefault="00000000" w:rsidRPr="00000000" w14:paraId="00000003">
      <w:pPr>
        <w:spacing w:after="229"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YÖNETİLEN HİZMETLER TEKNİK ŞARTNAMESİ</w:t>
      </w: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MEF Üniversitesi IT altyapısının, Üniversite Bilgi </w:t>
      </w:r>
      <w:r w:rsidDel="00000000" w:rsidR="00000000" w:rsidRPr="00000000">
        <w:rPr>
          <w:rFonts w:ascii="Times New Roman" w:cs="Times New Roman" w:eastAsia="Times New Roman" w:hAnsi="Times New Roman"/>
          <w:sz w:val="24"/>
          <w:szCs w:val="24"/>
          <w:rtl w:val="0"/>
        </w:rPr>
        <w:t xml:space="preserve">İ</w:t>
      </w:r>
      <w:r w:rsidDel="00000000" w:rsidR="00000000" w:rsidRPr="00000000">
        <w:rPr>
          <w:rFonts w:ascii="Times New Roman" w:cs="Times New Roman" w:eastAsia="Times New Roman" w:hAnsi="Times New Roman"/>
          <w:color w:val="000000"/>
          <w:sz w:val="24"/>
          <w:szCs w:val="24"/>
          <w:rtl w:val="0"/>
        </w:rPr>
        <w:t xml:space="preserve">şlem Direktörlüğü gözetiminde yönetiminin gerçekleştirilmesi ve bunun bir hizmet olarak yüklenici firma tarafından verilmesi amacıyla hazırlanmış şartnamedir.</w:t>
      </w:r>
      <w:r w:rsidDel="00000000" w:rsidR="00000000" w:rsidRPr="00000000">
        <w:rPr>
          <w:rtl w:val="0"/>
        </w:rPr>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firmada aşağıda belirtilen sertifikasyonlara sahip en az ikişer çalışan bulunmalıdır.</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Fortinet Certified Professional</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Trellix Cyber League: Endpoint, Infrastructure ve Secops </w:t>
      </w: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ISO 27001 Başdenetçi</w:t>
      </w:r>
      <w:r w:rsidDel="00000000" w:rsidR="00000000" w:rsidRPr="00000000">
        <w:rPr>
          <w:rtl w:val="0"/>
        </w:rPr>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Certified Incident Responder (eCIR)</w:t>
      </w:r>
      <w:r w:rsidDel="00000000" w:rsidR="00000000" w:rsidRPr="00000000">
        <w:rPr>
          <w:rtl w:val="0"/>
        </w:rPr>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HPE Simplivity VMWare Software Solutions Qualification</w:t>
      </w:r>
      <w:r w:rsidDel="00000000" w:rsidR="00000000" w:rsidRPr="00000000">
        <w:rPr>
          <w:rtl w:val="0"/>
        </w:rPr>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firma ISO 9001 sertifikasyonuna sahip olmalıdır. </w:t>
      </w:r>
      <w:r w:rsidDel="00000000" w:rsidR="00000000" w:rsidRPr="00000000">
        <w:rPr>
          <w:rtl w:val="0"/>
        </w:rPr>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firma ISO 27001 sertifikasyonuna sahip olmalıdır.</w:t>
      </w:r>
      <w:r w:rsidDel="00000000" w:rsidR="00000000" w:rsidRPr="00000000">
        <w:rPr>
          <w:rtl w:val="0"/>
        </w:rPr>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firma ISO 20000-1 sertifikasyonuna sahip olmalıdır.</w:t>
      </w:r>
      <w:r w:rsidDel="00000000" w:rsidR="00000000" w:rsidRPr="00000000">
        <w:rPr>
          <w:rtl w:val="0"/>
        </w:rPr>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firma TSE A Testi Firmasına sahip olmalı ya da Yönetilen Hizmetler kapsamında yapılacak olan Sızma Testi ve Zafiyet Analizi çalışmasını TSE Sızma Testi Firması belgesine sahip A Tipi Sızma Testi firması tarafından TSE standartlarında yapılmalıdır. </w:t>
      </w:r>
      <w:r w:rsidDel="00000000" w:rsidR="00000000" w:rsidRPr="00000000">
        <w:rPr>
          <w:rtl w:val="0"/>
        </w:rPr>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firmanın Fortinet Expert Partner olması gerekmektedir.</w:t>
      </w:r>
      <w:r w:rsidDel="00000000" w:rsidR="00000000" w:rsidRPr="00000000">
        <w:rPr>
          <w:rtl w:val="0"/>
        </w:rPr>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firmanın HPE Services Delivery Partner olması gerekmektedir. </w:t>
      </w:r>
      <w:r w:rsidDel="00000000" w:rsidR="00000000" w:rsidRPr="00000000">
        <w:rPr>
          <w:rtl w:val="0"/>
        </w:rPr>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firma, bu teknik şartnamede belirtilen işleri (sızma testleri haricinde) kendi bünyesindeki çalışanlar ile çözmeli ve hiçbir şekilde alt yükleniciye iş dağıtımı yapmamalıdır.</w:t>
      </w:r>
      <w:r w:rsidDel="00000000" w:rsidR="00000000" w:rsidRPr="00000000">
        <w:rPr>
          <w:rtl w:val="0"/>
        </w:rPr>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firma, Üniversitenin Network, Server &amp; Storage, Sanallaştırma, Microsoft Server ve Güvenlik IT altyapısını yönetecektir.</w:t>
      </w: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Yönetilen Hizmetler çalışması kapsamında uzaktan paylaşımlı bir Admin Yüklenici firma tarafından atanacaktır. Uzaktan paylaşımlı Admin üniversite dahil maksimum 4 firmaya hizmet verebilir.</w:t>
      </w:r>
      <w:r w:rsidDel="00000000" w:rsidR="00000000" w:rsidRPr="00000000">
        <w:rPr>
          <w:rtl w:val="0"/>
        </w:rPr>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Yönetilen Hizmetler Projesini proje yöneticisi atayarak yönetecektir. Proje Yöneticisi, projenin koordinasyonundan, şartnamede belirtilen Yüklenicinin sorumluluklarını yerine getirmesinden, aylık raporların ve 3 ayda bir yapılacak değerlendirme toplantılarının organizasyonundan birincil sorumludur. </w:t>
      </w:r>
      <w:r w:rsidDel="00000000" w:rsidR="00000000" w:rsidRPr="00000000">
        <w:rPr>
          <w:rtl w:val="0"/>
        </w:rPr>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Proje başlangıç toplantısı ile projeye başlayacaktır. Proje planını hazırlayıp, üniversiteye iletecek ve proje planına uygun olarak gerekenleri yapacak, haftalık proje planı değerlendirmesini mail ve telefon ile yapacaktır.</w:t>
      </w:r>
      <w:r w:rsidDel="00000000" w:rsidR="00000000" w:rsidRPr="00000000">
        <w:rPr>
          <w:rtl w:val="0"/>
        </w:rPr>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proje başlangıç toplantısı ardından Üniversitenin IT altyapısını inceleyerek, devir dokümanı doldurarak teslim alacaktır. Devir süreci Network, Server &amp; Storage, Sanallaştırma, Microsoft Server ve Güvenlik ürünleri olmak üzerinde 4 başlıkta yapılacaktır. Biri devir sürecinde olmak kaydıyla yılda 2 kez Health check yapılacak ve 4 başlıkta raporlaması yapılacaktır.</w:t>
      </w:r>
      <w:r w:rsidDel="00000000" w:rsidR="00000000" w:rsidRPr="00000000">
        <w:rPr>
          <w:rtl w:val="0"/>
        </w:rPr>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Üniversite ve Yüklenici devir sürecinin sonunda bu raporları değerlendirecek ve yapılacak iyileştirmeleri belirleyecektir. Teknik iyileştirme çalışmaları Yönetilen Hizmetler kapsamında gerçekleştirilecektir.</w:t>
      </w:r>
      <w:r w:rsidDel="00000000" w:rsidR="00000000" w:rsidRPr="00000000">
        <w:rPr>
          <w:rtl w:val="0"/>
        </w:rPr>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üniversite IT altyapısını 1000 Sensor ile uzaktan 7x24 izleyecektir. İzleme altyapısı yüklenici tarafından karşılanacaktır. Üniversite tarafa kurulacak probe yazılımın donanım ihtiyaçları üniversite tarafından karşılanacaktır. İzleme yapılacak sistemler ve eşik değerleri yüklenici tarafından belirlenip üniversiteye sunulacak ve onaylatılacaktır. </w:t>
      </w:r>
      <w:r w:rsidDel="00000000" w:rsidR="00000000" w:rsidRPr="00000000">
        <w:rPr>
          <w:rtl w:val="0"/>
        </w:rPr>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7x24 Network ve sistemler 1000 sensor ile sınırlı olmak üzere 7x24 izlenecek, alarm durumunda üniversiteye bildirim yapılacak ve yüklenicinin NOC acil müdahale ekibi tarafından müdahale edilecektir. Yüklenicinin Level 2 ekiplerine eskalasyon ve takip süreci 7x24 NOC izleme hizmeti kapsamındadır.</w:t>
      </w:r>
      <w:r w:rsidDel="00000000" w:rsidR="00000000" w:rsidRPr="00000000">
        <w:rPr>
          <w:rtl w:val="0"/>
        </w:rPr>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gerek 7x24 NOC izleme kapsamındaki müdahaleler ve gerekse de Üniversite tarafından iletilen talepleri ekte yer alan SLA dokümanına uygun olarak yerine getirecektir.</w:t>
      </w:r>
      <w:r w:rsidDel="00000000" w:rsidR="00000000" w:rsidRPr="00000000">
        <w:rPr>
          <w:rtl w:val="0"/>
        </w:rPr>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devir işlemlerin tamamlanması, Health check çalışmasının yapılmasından sonra Sızma testi gerçekleştirecektir. Sızma testi için Yüklenici firma TSE A Testi Firmasına sahip olmalı ya da Yönetilen Hizmetler kapsamında yapılacak olan Sızma Testi ve Zafiyet Analizi çalışmasını TSE Sızma Testi Firması belgesine sahip A Tipi Sızma Testi firması tarafından TSE standartlarında yapılmalıdır. </w:t>
      </w:r>
      <w:r w:rsidDel="00000000" w:rsidR="00000000" w:rsidRPr="00000000">
        <w:rPr>
          <w:rtl w:val="0"/>
        </w:rPr>
      </w:r>
    </w:p>
    <w:p w:rsidR="00000000" w:rsidDel="00000000" w:rsidP="00000000" w:rsidRDefault="00000000" w:rsidRPr="00000000" w14:paraId="0000001C">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Sızma testi, üniversitenin sistemlerine aşağıda belirtilen kapsamda gerçekleştirilecektir.</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Network ve veri tabanı sistemleri</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Kablosuz ağ</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Dışarıdan üniversite sistemlerine </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Web sayfası ve web uygulamalarına</w:t>
      </w:r>
      <w:r w:rsidDel="00000000" w:rsidR="00000000" w:rsidRPr="00000000">
        <w:rPr>
          <w:rtl w:val="0"/>
        </w:rPr>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Hizmet dışı bırakma amaçlı DOS/DDOS testi</w:t>
      </w:r>
      <w:r w:rsidDel="00000000" w:rsidR="00000000" w:rsidRPr="00000000">
        <w:rPr>
          <w:rtl w:val="0"/>
        </w:rPr>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Mail ile sosyal mühendislik farkındalık ölçümü</w:t>
      </w:r>
      <w:r w:rsidDel="00000000" w:rsidR="00000000" w:rsidRPr="00000000">
        <w:rPr>
          <w:rtl w:val="0"/>
        </w:rPr>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Sızma testi ardından raporu hazırlayacak ve üniversiteye iletecektir. Bir sunum ile sızma testi raporunu üniversite IT ekibine aktaracaktır. Bu sunuma Yönetilen Hizmetler proje yöneticisi, Admin de katılacaktır. Sızma Testi ardından yapılacak çalışmalar ve bulgu kapatmalar Yönetilen Hizmetler kapsamında yüklenici sorumluluğundadır.</w:t>
      </w:r>
      <w:r w:rsidDel="00000000" w:rsidR="00000000" w:rsidRPr="00000000">
        <w:rPr>
          <w:rtl w:val="0"/>
        </w:rPr>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Doğrulama testi ve yıl içerisinde 1 kez de zafiyet taraması gerçekleştirilecektir.</w:t>
      </w:r>
      <w:r w:rsidDel="00000000" w:rsidR="00000000" w:rsidRPr="00000000">
        <w:rPr>
          <w:rtl w:val="0"/>
        </w:rPr>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Yönetilen Hizmetler projesi kapsamında Üniversitenin IT Güvenlik alt yapısını da yönetecektir. IT Altyapısının daha güvenli olmasını hedefleyen bir yaklaşım ile aşağıda belirtilen ürünleri üniversiteye kullandırma bedeli ile kullandıracaktır.</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300 Kullanıcılı EndPoint</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300 Kullanıcı EDR</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300 Kullanıcılı DLP </w:t>
      </w: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Bu ürünlerin kurulumu ve konfigürasyonu, bakım desteği ve yönetilmesi Yüklenici sorumluluğundadır. Üniversite ürünlerin kurulumu için gereken sistem kaynaklarını sağlayacaktır.</w:t>
      </w: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Ayrıca 1500 EPS Trellix SIEM yüklenicinin paylaşımlı SIEM altyapısından üniversiteye kullandırılacaktır.</w:t>
      </w:r>
      <w:r w:rsidDel="00000000" w:rsidR="00000000" w:rsidRPr="00000000">
        <w:rPr>
          <w:rtl w:val="0"/>
        </w:rPr>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Üniversite tarafına kollektör kurulacak</w:t>
      </w:r>
      <w:r w:rsidDel="00000000" w:rsidR="00000000" w:rsidRPr="00000000">
        <w:rPr>
          <w:rtl w:val="0"/>
        </w:rPr>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Log kaynakları belirlenip bağlanacak</w:t>
      </w:r>
      <w:r w:rsidDel="00000000" w:rsidR="00000000" w:rsidRPr="00000000">
        <w:rPr>
          <w:rtl w:val="0"/>
        </w:rPr>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Log’ların Yüklenici paylaşımlı SIEM ortamına aktarılacak</w:t>
      </w: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Korelasyonlar yazılacak</w:t>
      </w:r>
      <w:r w:rsidDel="00000000" w:rsidR="00000000" w:rsidRPr="00000000">
        <w:rPr>
          <w:rtl w:val="0"/>
        </w:rPr>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Yıl boyu korelasyonlar güncellenecek ve yenileri eklenecek</w:t>
      </w:r>
      <w:r w:rsidDel="00000000" w:rsidR="00000000" w:rsidRPr="00000000">
        <w:rPr>
          <w:rtl w:val="0"/>
        </w:rPr>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False positiveler ayıklanacak</w:t>
      </w:r>
      <w:r w:rsidDel="00000000" w:rsidR="00000000" w:rsidRPr="00000000">
        <w:rPr>
          <w:rtl w:val="0"/>
        </w:rPr>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7x24 SIEM izleme ve bilgilendirme yapılacak</w:t>
      </w:r>
      <w:r w:rsidDel="00000000" w:rsidR="00000000" w:rsidRPr="00000000">
        <w:rPr>
          <w:rtl w:val="0"/>
        </w:rPr>
      </w:r>
    </w:p>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Korelasyonlar ile atakların belirlenmesi durumunda, ataklara SIEM – Firewall ve SIEM - Endpoint entegrasyonu ile SIEM içerisinde müdahale edilecektir.</w:t>
      </w:r>
      <w:r w:rsidDel="00000000" w:rsidR="00000000" w:rsidRPr="00000000">
        <w:rPr>
          <w:rtl w:val="0"/>
        </w:rPr>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Üniversitenin 5651 log kayıtları da 2 yıl boyunca yüklenici tarafından saklanacaktır.</w:t>
      </w:r>
      <w:r w:rsidDel="00000000" w:rsidR="00000000" w:rsidRPr="00000000">
        <w:rPr>
          <w:rtl w:val="0"/>
        </w:rPr>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Yüklenici SIEM ve 7x24 İzleme + Müdahale hizmetini SOC ekibi yardımıyla sunacaktır. Yüklenicinin SOC hizmetini kendisi veriyor olması ve en az 3 firmaya verdiğini bildirmesi gerekmektedir.</w:t>
      </w:r>
      <w:r w:rsidDel="00000000" w:rsidR="00000000" w:rsidRPr="00000000">
        <w:rPr>
          <w:rtl w:val="0"/>
        </w:rPr>
      </w:r>
    </w:p>
    <w:p w:rsidR="00000000" w:rsidDel="00000000" w:rsidP="00000000" w:rsidRDefault="00000000" w:rsidRPr="00000000" w14:paraId="00000035">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Yüklenici</w:t>
      </w:r>
      <w:r w:rsidDel="00000000" w:rsidR="00000000" w:rsidRPr="00000000">
        <w:rPr>
          <w:rFonts w:ascii="Times New Roman" w:cs="Times New Roman" w:eastAsia="Times New Roman" w:hAnsi="Times New Roman"/>
          <w:color w:val="000000"/>
          <w:sz w:val="24"/>
          <w:szCs w:val="24"/>
          <w:rtl w:val="0"/>
        </w:rPr>
        <w:t xml:space="preserve">, MEF üniversitesinin bu şartnamede istediği yetkinlik ile ilgili sertifika ve belgeleri teklif ile iletmek durumundadır.</w:t>
      </w:r>
      <w:r w:rsidDel="00000000" w:rsidR="00000000" w:rsidRPr="00000000">
        <w:rPr>
          <w:rtl w:val="0"/>
        </w:rPr>
      </w:r>
    </w:p>
    <w:p w:rsidR="00000000" w:rsidDel="00000000" w:rsidP="00000000" w:rsidRDefault="00000000" w:rsidRPr="00000000" w14:paraId="00000036">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Yönetilen Hizmetler kapsamında güvenlik altyapısını yönetilen güvenlik uzmanı aracılığı ile yönetilmesi beklemektedir.</w:t>
      </w:r>
      <w:r w:rsidDel="00000000" w:rsidR="00000000" w:rsidRPr="00000000">
        <w:rPr>
          <w:rtl w:val="0"/>
        </w:rPr>
      </w:r>
    </w:p>
    <w:p w:rsidR="00000000" w:rsidDel="00000000" w:rsidP="00000000" w:rsidRDefault="00000000" w:rsidRPr="00000000" w14:paraId="00000037">
      <w:pPr>
        <w:numPr>
          <w:ilvl w:val="0"/>
          <w:numId w:val="1"/>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Aylık yönetilen hizmetleri raporlaması ve 3 ayda 1 değerlendirme toplantısı düzenlenmesi gerekmektedir. </w:t>
      </w:r>
      <w:r w:rsidDel="00000000" w:rsidR="00000000" w:rsidRPr="00000000">
        <w:rPr>
          <w:rtl w:val="0"/>
        </w:rPr>
      </w:r>
    </w:p>
    <w:p w:rsidR="00000000" w:rsidDel="00000000" w:rsidP="00000000" w:rsidRDefault="00000000" w:rsidRPr="00000000" w14:paraId="00000038">
      <w:pPr>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SLA DÖKÜMANI</w:t>
      </w:r>
    </w:p>
    <w:p w:rsidR="00000000" w:rsidDel="00000000" w:rsidP="00000000" w:rsidRDefault="00000000" w:rsidRPr="00000000" w14:paraId="00000039">
      <w:pPr>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Önem Seviyeleri</w:t>
      </w:r>
    </w:p>
    <w:tbl>
      <w:tblPr>
        <w:tblStyle w:val="Table1"/>
        <w:tblW w:w="983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49"/>
        <w:gridCol w:w="8087"/>
        <w:tblGridChange w:id="0">
          <w:tblGrid>
            <w:gridCol w:w="1749"/>
            <w:gridCol w:w="8087"/>
          </w:tblGrid>
        </w:tblGridChange>
      </w:tblGrid>
      <w:tr>
        <w:trPr>
          <w:cantSplit w:val="0"/>
          <w:trHeight w:val="227" w:hRule="atLeast"/>
          <w:tblHeader w:val="0"/>
        </w:trPr>
        <w:tc>
          <w:tcPr>
            <w:shd w:fill="d0cece" w:val="clear"/>
          </w:tcPr>
          <w:p w:rsidR="00000000" w:rsidDel="00000000" w:rsidP="00000000" w:rsidRDefault="00000000" w:rsidRPr="00000000" w14:paraId="0000003A">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Önem seviyesi</w:t>
            </w:r>
          </w:p>
        </w:tc>
        <w:tc>
          <w:tcPr>
            <w:shd w:fill="d0cece" w:val="clear"/>
          </w:tcPr>
          <w:p w:rsidR="00000000" w:rsidDel="00000000" w:rsidP="00000000" w:rsidRDefault="00000000" w:rsidRPr="00000000" w14:paraId="0000003B">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Açıklama</w:t>
            </w:r>
          </w:p>
        </w:tc>
      </w:tr>
      <w:tr>
        <w:trPr>
          <w:cantSplit w:val="0"/>
          <w:trHeight w:val="915" w:hRule="atLeast"/>
          <w:tblHeader w:val="0"/>
        </w:trPr>
        <w:tc>
          <w:tcPr>
            <w:vAlign w:val="center"/>
          </w:tcPr>
          <w:p w:rsidR="00000000" w:rsidDel="00000000" w:rsidP="00000000" w:rsidRDefault="00000000" w:rsidRPr="00000000" w14:paraId="0000003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Kritik</w:t>
            </w:r>
          </w:p>
        </w:tc>
        <w:tc>
          <w:tcPr/>
          <w:p w:rsidR="00000000" w:rsidDel="00000000" w:rsidP="00000000" w:rsidRDefault="00000000" w:rsidRPr="00000000" w14:paraId="0000003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İş süreçlerine ağır etki eden. Ana iş sürecinin çalışmasını engelleyen. Uygulamalara erişilemiyor olması ve/veya hasar görmüş olması. Ana iş süreçlerinin fonksiyonlarının yerine getirilememesi. Uygulama sunucularına veya veri tabanlarına erişilemiyor olması.</w:t>
            </w:r>
          </w:p>
        </w:tc>
      </w:tr>
      <w:tr>
        <w:trPr>
          <w:cantSplit w:val="0"/>
          <w:trHeight w:val="843" w:hRule="atLeast"/>
          <w:tblHeader w:val="0"/>
        </w:trPr>
        <w:tc>
          <w:tcPr>
            <w:vAlign w:val="center"/>
          </w:tcPr>
          <w:p w:rsidR="00000000" w:rsidDel="00000000" w:rsidP="00000000" w:rsidRDefault="00000000" w:rsidRPr="00000000" w14:paraId="0000003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Yüksek</w:t>
            </w:r>
          </w:p>
        </w:tc>
        <w:tc>
          <w:tcPr/>
          <w:p w:rsidR="00000000" w:rsidDel="00000000" w:rsidP="00000000" w:rsidRDefault="00000000" w:rsidRPr="00000000" w14:paraId="0000003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İş süreçlerine etkisi büyük. Kritik uygulamaların bir kısmı çalışmıyor ve/veya ciddi etkilenmiş. Kritik fonksiyonların yerine getirilemiyor olması. Kullanıcıların çalışabilmesi ancak verimlilik seviyelerini düşüren etkenler.</w:t>
            </w:r>
          </w:p>
        </w:tc>
      </w:tr>
      <w:tr>
        <w:trPr>
          <w:cantSplit w:val="0"/>
          <w:trHeight w:val="1376" w:hRule="atLeast"/>
          <w:tblHeader w:val="0"/>
        </w:trPr>
        <w:tc>
          <w:tcPr>
            <w:vAlign w:val="center"/>
          </w:tcPr>
          <w:p w:rsidR="00000000" w:rsidDel="00000000" w:rsidP="00000000" w:rsidRDefault="00000000" w:rsidRPr="00000000" w14:paraId="0000004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Orta</w:t>
            </w:r>
          </w:p>
        </w:tc>
        <w:tc>
          <w:tcPr/>
          <w:p w:rsidR="00000000" w:rsidDel="00000000" w:rsidP="00000000" w:rsidRDefault="00000000" w:rsidRPr="00000000" w14:paraId="0000004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İşle ilgili küçük talepler, yeni donanım kurulum, değişim talepleri.  Önemli nitelikte olan, ancak yüksek öncelikli olarak eylem yapılmasını gerektirmeyen herhangi bir talep ve problemler. Hizmet üretken durumdadır, ancak Hizmet Talebinin yerine getirilmemesi durumunda, bu göz ardı edilemeyecek etkiye yol açar. İş süreçlerine etki eden ancak üretimi engellemeyen durumlar.</w:t>
            </w:r>
          </w:p>
        </w:tc>
      </w:tr>
      <w:tr>
        <w:trPr>
          <w:cantSplit w:val="0"/>
          <w:trHeight w:val="843" w:hRule="atLeast"/>
          <w:tblHeader w:val="0"/>
        </w:trPr>
        <w:tc>
          <w:tcPr>
            <w:vAlign w:val="center"/>
          </w:tcPr>
          <w:p w:rsidR="00000000" w:rsidDel="00000000" w:rsidP="00000000" w:rsidRDefault="00000000" w:rsidRPr="00000000" w14:paraId="0000004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Düşük</w:t>
            </w:r>
          </w:p>
        </w:tc>
        <w:tc>
          <w:tcPr/>
          <w:p w:rsidR="00000000" w:rsidDel="00000000" w:rsidP="00000000" w:rsidRDefault="00000000" w:rsidRPr="00000000" w14:paraId="0000004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Planlanabilecek herhangi bir talep veya problem. Arıza veya sorunun kullanıcıya etkisinin min. Düzeyde olduğu durumlar. Planlama ile çözülebilecek problem ve/veya talepler.</w:t>
            </w:r>
          </w:p>
        </w:tc>
      </w:tr>
    </w:tbl>
    <w:p w:rsidR="00000000" w:rsidDel="00000000" w:rsidP="00000000" w:rsidRDefault="00000000" w:rsidRPr="00000000" w14:paraId="00000044">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Müdahale Süreleri </w:t>
      </w:r>
    </w:p>
    <w:tbl>
      <w:tblPr>
        <w:tblStyle w:val="Table2"/>
        <w:tblW w:w="984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79"/>
        <w:gridCol w:w="3281"/>
        <w:gridCol w:w="3282"/>
        <w:tblGridChange w:id="0">
          <w:tblGrid>
            <w:gridCol w:w="3279"/>
            <w:gridCol w:w="3281"/>
            <w:gridCol w:w="3282"/>
          </w:tblGrid>
        </w:tblGridChange>
      </w:tblGrid>
      <w:tr>
        <w:trPr>
          <w:cantSplit w:val="0"/>
          <w:trHeight w:val="330" w:hRule="atLeast"/>
          <w:tblHeader w:val="0"/>
        </w:trPr>
        <w:tc>
          <w:tcPr>
            <w:gridSpan w:val="3"/>
            <w:shd w:fill="d0cece" w:val="clear"/>
          </w:tcPr>
          <w:p w:rsidR="00000000" w:rsidDel="00000000" w:rsidP="00000000" w:rsidRDefault="00000000" w:rsidRPr="00000000" w14:paraId="00000046">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Hizmet Seviyeleri Müdahale Süreleri</w:t>
            </w:r>
          </w:p>
        </w:tc>
      </w:tr>
      <w:tr>
        <w:trPr>
          <w:cantSplit w:val="0"/>
          <w:trHeight w:val="341" w:hRule="atLeast"/>
          <w:tblHeader w:val="0"/>
        </w:trPr>
        <w:tc>
          <w:tcPr/>
          <w:p w:rsidR="00000000" w:rsidDel="00000000" w:rsidP="00000000" w:rsidRDefault="00000000" w:rsidRPr="00000000" w14:paraId="00000049">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Önem Derecesi</w:t>
            </w:r>
          </w:p>
        </w:tc>
        <w:tc>
          <w:tcPr/>
          <w:p w:rsidR="00000000" w:rsidDel="00000000" w:rsidP="00000000" w:rsidRDefault="00000000" w:rsidRPr="00000000" w14:paraId="0000004A">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Olay Yönetimi</w:t>
            </w:r>
          </w:p>
        </w:tc>
        <w:tc>
          <w:tcPr/>
          <w:p w:rsidR="00000000" w:rsidDel="00000000" w:rsidP="00000000" w:rsidRDefault="00000000" w:rsidRPr="00000000" w14:paraId="0000004B">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Talep Yönetimi</w:t>
            </w:r>
          </w:p>
        </w:tc>
      </w:tr>
      <w:tr>
        <w:trPr>
          <w:cantSplit w:val="0"/>
          <w:trHeight w:val="296" w:hRule="atLeast"/>
          <w:tblHeader w:val="0"/>
        </w:trPr>
        <w:tc>
          <w:tcPr/>
          <w:p w:rsidR="00000000" w:rsidDel="00000000" w:rsidP="00000000" w:rsidRDefault="00000000" w:rsidRPr="00000000" w14:paraId="0000004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Kritik (Critical)</w:t>
            </w:r>
          </w:p>
        </w:tc>
        <w:tc>
          <w:tcPr/>
          <w:p w:rsidR="00000000" w:rsidDel="00000000" w:rsidP="00000000" w:rsidRDefault="00000000" w:rsidRPr="00000000" w14:paraId="0000004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Saat</w:t>
            </w:r>
          </w:p>
        </w:tc>
        <w:tc>
          <w:tcPr/>
          <w:p w:rsidR="00000000" w:rsidDel="00000000" w:rsidP="00000000" w:rsidRDefault="00000000" w:rsidRPr="00000000" w14:paraId="0000004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Saat</w:t>
            </w:r>
          </w:p>
        </w:tc>
      </w:tr>
      <w:tr>
        <w:trPr>
          <w:cantSplit w:val="0"/>
          <w:trHeight w:val="307" w:hRule="atLeast"/>
          <w:tblHeader w:val="0"/>
        </w:trPr>
        <w:tc>
          <w:tcPr/>
          <w:p w:rsidR="00000000" w:rsidDel="00000000" w:rsidP="00000000" w:rsidRDefault="00000000" w:rsidRPr="00000000" w14:paraId="0000004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Yüksek (High)</w:t>
            </w:r>
          </w:p>
        </w:tc>
        <w:tc>
          <w:tcPr/>
          <w:p w:rsidR="00000000" w:rsidDel="00000000" w:rsidP="00000000" w:rsidRDefault="00000000" w:rsidRPr="00000000" w14:paraId="0000005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Saat</w:t>
            </w:r>
          </w:p>
        </w:tc>
        <w:tc>
          <w:tcPr/>
          <w:p w:rsidR="00000000" w:rsidDel="00000000" w:rsidP="00000000" w:rsidRDefault="00000000" w:rsidRPr="00000000" w14:paraId="0000005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Saat</w:t>
            </w:r>
          </w:p>
        </w:tc>
      </w:tr>
      <w:tr>
        <w:trPr>
          <w:cantSplit w:val="0"/>
          <w:trHeight w:val="307" w:hRule="atLeast"/>
          <w:tblHeader w:val="0"/>
        </w:trPr>
        <w:tc>
          <w:tcPr/>
          <w:p w:rsidR="00000000" w:rsidDel="00000000" w:rsidP="00000000" w:rsidRDefault="00000000" w:rsidRPr="00000000" w14:paraId="0000005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Orta (Medium)</w:t>
            </w:r>
          </w:p>
        </w:tc>
        <w:tc>
          <w:tcPr/>
          <w:p w:rsidR="00000000" w:rsidDel="00000000" w:rsidP="00000000" w:rsidRDefault="00000000" w:rsidRPr="00000000" w14:paraId="0000005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Saat</w:t>
            </w:r>
          </w:p>
        </w:tc>
        <w:tc>
          <w:tcPr/>
          <w:p w:rsidR="00000000" w:rsidDel="00000000" w:rsidP="00000000" w:rsidRDefault="00000000" w:rsidRPr="00000000" w14:paraId="0000005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48 Saat</w:t>
            </w:r>
          </w:p>
        </w:tc>
      </w:tr>
      <w:tr>
        <w:trPr>
          <w:cantSplit w:val="0"/>
          <w:trHeight w:val="307" w:hRule="atLeast"/>
          <w:tblHeader w:val="0"/>
        </w:trPr>
        <w:tc>
          <w:tcPr/>
          <w:p w:rsidR="00000000" w:rsidDel="00000000" w:rsidP="00000000" w:rsidRDefault="00000000" w:rsidRPr="00000000" w14:paraId="0000005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Düşük (Low)</w:t>
            </w:r>
          </w:p>
        </w:tc>
        <w:tc>
          <w:tcPr/>
          <w:p w:rsidR="00000000" w:rsidDel="00000000" w:rsidP="00000000" w:rsidRDefault="00000000" w:rsidRPr="00000000" w14:paraId="0000005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 Saat</w:t>
            </w:r>
          </w:p>
        </w:tc>
        <w:tc>
          <w:tcPr/>
          <w:p w:rsidR="00000000" w:rsidDel="00000000" w:rsidP="00000000" w:rsidRDefault="00000000" w:rsidRPr="00000000" w14:paraId="0000005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Saat</w:t>
            </w:r>
          </w:p>
        </w:tc>
      </w:tr>
    </w:tbl>
    <w:p w:rsidR="00000000" w:rsidDel="00000000" w:rsidP="00000000" w:rsidRDefault="00000000" w:rsidRPr="00000000" w14:paraId="00000058">
      <w:pPr>
        <w:jc w:val="both"/>
        <w:rPr>
          <w:rFonts w:ascii="Times New Roman" w:cs="Times New Roman" w:eastAsia="Times New Roman" w:hAnsi="Times New Roman"/>
          <w:b w:val="1"/>
          <w:color w:val="ff0000"/>
          <w:sz w:val="24"/>
          <w:szCs w:val="24"/>
        </w:rPr>
      </w:pPr>
      <w:r w:rsidDel="00000000" w:rsidR="00000000" w:rsidRPr="00000000">
        <w:rPr>
          <w:rtl w:val="0"/>
        </w:rPr>
      </w:r>
    </w:p>
    <w:sectPr>
      <w:footerReference r:id="rId8" w:type="default"/>
      <w:pgSz w:h="16838" w:w="11906" w:orient="portrait"/>
      <w:pgMar w:bottom="1417" w:top="993"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tabs>
        <w:tab w:val="center" w:leader="none" w:pos="4513"/>
        <w:tab w:val="right" w:leader="none" w:pos="9026"/>
      </w:tabs>
      <w:spacing w:after="0" w:line="240" w:lineRule="auto"/>
      <w:rPr>
        <w:color w:val="4472c4"/>
      </w:rPr>
    </w:pPr>
    <w:r w:rsidDel="00000000" w:rsidR="00000000" w:rsidRPr="00000000">
      <w:rPr>
        <w:color w:val="4472c4"/>
        <w:rtl w:val="0"/>
      </w:rPr>
      <w:t xml:space="preserve"> </w:t>
    </w:r>
  </w:p>
  <w:p w:rsidR="00000000" w:rsidDel="00000000" w:rsidP="00000000" w:rsidRDefault="00000000" w:rsidRPr="00000000" w14:paraId="0000005A">
    <w:pPr>
      <w:pBdr>
        <w:top w:color="002060" w:space="1" w:sz="36" w:val="single"/>
        <w:left w:space="0" w:sz="0" w:val="nil"/>
        <w:bottom w:space="0" w:sz="0" w:val="nil"/>
        <w:right w:space="0" w:sz="0" w:val="nil"/>
        <w:between w:space="0" w:sz="0" w:val="nil"/>
      </w:pBdr>
      <w:tabs>
        <w:tab w:val="center" w:leader="none" w:pos="4513"/>
        <w:tab w:val="right" w:leader="none" w:pos="9026"/>
      </w:tabs>
      <w:spacing w:after="0" w:line="240" w:lineRule="auto"/>
      <w:rPr>
        <w:color w:val="1f3864"/>
      </w:rPr>
    </w:pPr>
    <w:r w:rsidDel="00000000" w:rsidR="00000000" w:rsidRPr="00000000">
      <w:rPr>
        <w:color w:val="1f3864"/>
        <w:rtl w:val="0"/>
      </w:rPr>
      <w:t xml:space="preserve">MEF ÜNİVERSİTESİ YÖNETİLEN BİLGİ İŞLEM HİZMETLERİ ALIMI TEKNİK ŞARTNAMESİ</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Balk1">
    <w:name w:val="heading 1"/>
    <w:basedOn w:val="Normal"/>
    <w:next w:val="Normal"/>
    <w:uiPriority w:val="9"/>
    <w:qFormat w:val="1"/>
    <w:pPr>
      <w:keepNext w:val="1"/>
      <w:keepLines w:val="1"/>
      <w:spacing w:after="120" w:before="480"/>
      <w:outlineLvl w:val="0"/>
    </w:pPr>
    <w:rPr>
      <w:b w:val="1"/>
      <w:sz w:val="48"/>
      <w:szCs w:val="48"/>
    </w:rPr>
  </w:style>
  <w:style w:type="paragraph" w:styleId="Balk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Balk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Balk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Balk5">
    <w:name w:val="heading 5"/>
    <w:basedOn w:val="Normal"/>
    <w:next w:val="Normal"/>
    <w:uiPriority w:val="9"/>
    <w:semiHidden w:val="1"/>
    <w:unhideWhenUsed w:val="1"/>
    <w:qFormat w:val="1"/>
    <w:pPr>
      <w:keepNext w:val="1"/>
      <w:keepLines w:val="1"/>
      <w:spacing w:after="40" w:before="220"/>
      <w:outlineLvl w:val="4"/>
    </w:pPr>
    <w:rPr>
      <w:b w:val="1"/>
    </w:rPr>
  </w:style>
  <w:style w:type="paragraph" w:styleId="Balk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KonuBal">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ListeParagraf">
    <w:name w:val="List Paragraph"/>
    <w:basedOn w:val="Normal"/>
    <w:uiPriority w:val="34"/>
    <w:qFormat w:val="1"/>
    <w:rsid w:val="00D12F79"/>
    <w:pPr>
      <w:ind w:left="720"/>
      <w:contextualSpacing w:val="1"/>
    </w:pPr>
  </w:style>
  <w:style w:type="table" w:styleId="TabloKlavuzu">
    <w:name w:val="Table Grid"/>
    <w:basedOn w:val="NormalTablo"/>
    <w:uiPriority w:val="39"/>
    <w:rsid w:val="000D31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ltyaz">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NormalTablo"/>
    <w:pPr>
      <w:spacing w:after="0" w:line="240" w:lineRule="auto"/>
    </w:pPr>
    <w:tblPr>
      <w:tblStyleRowBandSize w:val="1"/>
      <w:tblStyleColBandSize w:val="1"/>
    </w:tblPr>
  </w:style>
  <w:style w:type="table" w:styleId="a0" w:customStyle="1">
    <w:basedOn w:val="NormalTablo"/>
    <w:pPr>
      <w:spacing w:after="0" w:line="240" w:lineRule="auto"/>
    </w:pPr>
    <w:tblPr>
      <w:tblStyleRowBandSize w:val="1"/>
      <w:tblStyleColBandSize w:val="1"/>
    </w:tblPr>
  </w:style>
  <w:style w:type="paragraph" w:styleId="stBilgi">
    <w:name w:val="header"/>
    <w:basedOn w:val="Normal"/>
    <w:link w:val="stBilgiChar"/>
    <w:uiPriority w:val="99"/>
    <w:unhideWhenUsed w:val="1"/>
    <w:rsid w:val="00D4346E"/>
    <w:pPr>
      <w:tabs>
        <w:tab w:val="center" w:pos="4513"/>
        <w:tab w:val="right" w:pos="9026"/>
      </w:tabs>
      <w:spacing w:after="0" w:line="240" w:lineRule="auto"/>
    </w:pPr>
  </w:style>
  <w:style w:type="character" w:styleId="stBilgiChar" w:customStyle="1">
    <w:name w:val="Üst Bilgi Char"/>
    <w:basedOn w:val="VarsaylanParagrafYazTipi"/>
    <w:link w:val="stBilgi"/>
    <w:uiPriority w:val="99"/>
    <w:rsid w:val="00D4346E"/>
  </w:style>
  <w:style w:type="paragraph" w:styleId="AltBilgi">
    <w:name w:val="footer"/>
    <w:basedOn w:val="Normal"/>
    <w:link w:val="AltBilgiChar"/>
    <w:uiPriority w:val="99"/>
    <w:unhideWhenUsed w:val="1"/>
    <w:rsid w:val="00D4346E"/>
    <w:pPr>
      <w:tabs>
        <w:tab w:val="center" w:pos="4513"/>
        <w:tab w:val="right" w:pos="9026"/>
      </w:tabs>
      <w:spacing w:after="0" w:line="240" w:lineRule="auto"/>
    </w:pPr>
  </w:style>
  <w:style w:type="character" w:styleId="AltBilgiChar" w:customStyle="1">
    <w:name w:val="Alt Bilgi Char"/>
    <w:basedOn w:val="VarsaylanParagrafYazTipi"/>
    <w:link w:val="AltBilgi"/>
    <w:uiPriority w:val="99"/>
    <w:rsid w:val="00D4346E"/>
  </w:style>
  <w:style w:type="paragraph" w:styleId="NormalWeb">
    <w:name w:val="Normal (Web)"/>
    <w:basedOn w:val="Normal"/>
    <w:uiPriority w:val="99"/>
    <w:semiHidden w:val="1"/>
    <w:unhideWhenUsed w:val="1"/>
    <w:rsid w:val="00D4346E"/>
    <w:rPr>
      <w:rFonts w:ascii="Times New Roman" w:cs="Times New Roman" w:hAnsi="Times New Roman"/>
      <w:sz w:val="24"/>
      <w:szCs w:val="24"/>
    </w:rPr>
  </w:style>
  <w:style w:type="table" w:styleId="a1" w:customStyle="1">
    <w:basedOn w:val="TableNormal0"/>
    <w:pPr>
      <w:spacing w:after="0" w:line="240" w:lineRule="auto"/>
    </w:pPr>
    <w:tblPr>
      <w:tblStyleRowBandSize w:val="1"/>
      <w:tblStyleColBandSize w:val="1"/>
      <w:tblCellMar>
        <w:left w:w="108.0" w:type="dxa"/>
        <w:right w:w="108.0" w:type="dxa"/>
      </w:tblCellMar>
    </w:tblPr>
  </w:style>
  <w:style w:type="table" w:styleId="a2" w:customStyle="1">
    <w:basedOn w:val="TableNormal0"/>
    <w:pPr>
      <w:spacing w:after="0" w:line="240" w:lineRule="auto"/>
    </w:p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zIsj8bBv6GeQaz+NtD+lpLtHOg==">CgMxLjA4AHIhMWVLXzBYdlh3U3dpZmdkQ2tHczdVNEtFb0NxQVlsbzhE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2025-03-07T09:29:00Z</dcterms:created>
  <dc:creator>Ahmethan GOKCAY</dc:creator>
</cp:coreProperties>
</file>